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2DC4E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D0D0D"/>
          <w:sz w:val="28"/>
          <w:szCs w:val="28"/>
          <w:lang w:val="en-US" w:eastAsia="zh-CN" w:bidi="ar-SA"/>
        </w:rPr>
      </w:pPr>
      <w:bookmarkStart w:id="1" w:name="_GoBack"/>
      <w:r>
        <w:rPr>
          <w:rFonts w:hint="eastAsia" w:ascii="Times New Roman" w:hAnsi="Times New Roman" w:cs="Times New Roman"/>
          <w:b/>
          <w:bCs/>
          <w:color w:val="0D0D0D"/>
          <w:sz w:val="28"/>
          <w:szCs w:val="28"/>
          <w:lang w:val="en-US" w:eastAsia="zh-CN" w:bidi="ar-SA"/>
        </w:rPr>
        <w:t>临床药师工作站需求</w:t>
      </w:r>
    </w:p>
    <w:bookmarkEnd w:id="1"/>
    <w:p w14:paraId="4A0A79F6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6D3CCBC0">
      <w:pPr>
        <w:pStyle w:val="5"/>
        <w:pageBreakBefore w:val="0"/>
        <w:shd w:val="clear" w:color="auto" w:fill="FFFFFF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用药风险实时预警与干预需求</w:t>
      </w:r>
    </w:p>
    <w:p w14:paraId="1111CC36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系统实时监测患者用药方案，对超剂量、禁忌配伍、特殊人群用药不当等问题自动预警。</w:t>
      </w:r>
    </w:p>
    <w:p w14:paraId="02835B2A">
      <w:pPr>
        <w:pStyle w:val="5"/>
        <w:pageBreakBefore w:val="0"/>
        <w:shd w:val="clear" w:color="auto" w:fill="FFFFFF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主动监护与分级监护</w:t>
      </w:r>
    </w:p>
    <w:p w14:paraId="77E5FC41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  <w:t>主动发现需要监护患者</w:t>
      </w:r>
      <w:r>
        <w:rPr>
          <w:rFonts w:hint="default" w:ascii="Times New Roman" w:hAnsi="Times New Roman" w:cs="Times New Roman"/>
          <w:sz w:val="24"/>
          <w:szCs w:val="24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  <w:t>发现用药风险及时提醒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，推送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  <w:t>用药建议。</w:t>
      </w:r>
    </w:p>
    <w:p w14:paraId="07F31C42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2.分级监护，</w:t>
      </w:r>
      <w:r>
        <w:rPr>
          <w:rFonts w:hint="default" w:ascii="Times New Roman" w:hAnsi="Times New Roman" w:cs="Times New Roman"/>
        </w:rPr>
        <w:t>统计各科室和药师的监护工作量。</w:t>
      </w:r>
    </w:p>
    <w:p w14:paraId="439CB044">
      <w:pPr>
        <w:pStyle w:val="6"/>
        <w:pageBreakBefore w:val="0"/>
        <w:kinsoku/>
        <w:wordWrap/>
        <w:overflowPunct/>
        <w:topLinePunct w:val="0"/>
        <w:bidi w:val="0"/>
        <w:spacing w:before="0" w:after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监护全流程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支持药师通过时间轴的形式查看本次住院期间全部的药学监护内容，包括药学查房、用药监护、用药教育、入院评估、药物重整、专项评估、药学反馈、用药咨询、精准药学。</w:t>
      </w:r>
    </w:p>
    <w:p w14:paraId="5D3AC7C2">
      <w:pPr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三、为患者开展药物治疗管理需求</w:t>
      </w:r>
    </w:p>
    <w:p w14:paraId="5AD3EBE7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特别是对肿瘤患者用药、特殊患者进行综合评价，发现用药问题并提供治疗建议。</w:t>
      </w:r>
      <w:r>
        <w:rPr>
          <w:rFonts w:hint="default" w:ascii="Times New Roman" w:hAnsi="Times New Roman" w:cs="Times New Roman"/>
          <w:sz w:val="24"/>
          <w:szCs w:val="24"/>
          <w:lang w:val="en-US" w:eastAsia="zh-CN" w:bidi="ar-SA"/>
        </w:rPr>
        <w:t>自动抓取 TDM 结果，联动剂量计算，生成个体化给药方案。患者药敏结果，推荐最合适的治疗方案。根据最新指南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和院内药物治疗路径</w:t>
      </w:r>
      <w:r>
        <w:rPr>
          <w:rFonts w:hint="default" w:ascii="Times New Roman" w:hAnsi="Times New Roman" w:cs="Times New Roman"/>
          <w:sz w:val="24"/>
          <w:szCs w:val="24"/>
          <w:lang w:val="en-US" w:eastAsia="zh-CN" w:bidi="ar-SA"/>
        </w:rPr>
        <w:t>自动匹配适合的品种、剂量、疗程。</w:t>
      </w:r>
    </w:p>
    <w:p w14:paraId="7A9027F4">
      <w:pPr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四、重点药品专项管理需求（抗菌/肿瘤）</w:t>
      </w:r>
    </w:p>
    <w:p w14:paraId="5754850A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根据政策要求、诊疗规范和院内路径等内容分规范化管理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抗菌药物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和抗肿瘤药品，包括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分级授权、围术期时长管控、耐药预警、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相互作用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、疗程预警、自动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推送医生端等。</w:t>
      </w:r>
    </w:p>
    <w:p w14:paraId="60590B29">
      <w:pPr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五、医药信息查询需求</w:t>
      </w:r>
    </w:p>
    <w:p w14:paraId="48B9EF99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医生和药师能及时查询到国内外权威医药信息，如药品说明书、临床指南、药物专论等。</w:t>
      </w:r>
    </w:p>
    <w:p w14:paraId="6389B65F">
      <w:pPr>
        <w:pStyle w:val="6"/>
        <w:pageBreakBefore w:val="0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六、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用药教育</w:t>
      </w:r>
    </w:p>
    <w:p w14:paraId="469BB336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根据患者在院状态，为待出院患者自动生成用药教育计划，提醒药师为其开展用药教育。</w:t>
      </w:r>
    </w:p>
    <w:p w14:paraId="6A93F306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七、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药学反馈</w:t>
      </w:r>
    </w:p>
    <w:p w14:paraId="3D676A2F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系统支持</w:t>
      </w:r>
      <w:r>
        <w:rPr>
          <w:rFonts w:hint="eastAsia" w:cs="Times New Roman"/>
          <w:lang w:val="en-US" w:eastAsia="zh-CN"/>
        </w:rPr>
        <w:t>推送</w:t>
      </w:r>
      <w:r>
        <w:rPr>
          <w:rFonts w:hint="default" w:ascii="Times New Roman" w:hAnsi="Times New Roman" w:cs="Times New Roman"/>
        </w:rPr>
        <w:t>药学反馈单，药师与医生针对患者病情进行在线沟通，可发送文字、图片等内容。</w:t>
      </w:r>
    </w:p>
    <w:p w14:paraId="6E84975E">
      <w:pPr>
        <w:pStyle w:val="6"/>
        <w:pageBreakBefore w:val="0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评估量表</w:t>
      </w:r>
    </w:p>
    <w:p w14:paraId="1DE41965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系统提供多种标准化评估量表，系统根据评估内容自动生成得分、结论及建议。</w:t>
      </w:r>
    </w:p>
    <w:p w14:paraId="16032432">
      <w:pPr>
        <w:pStyle w:val="6"/>
        <w:pageBreakBefore w:val="0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时序图</w:t>
      </w:r>
    </w:p>
    <w:p w14:paraId="1EC29295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系统提供用药时序图功能，药师可根据不同患者类型选择时序图模板，查看本次住院期间用药时序图，时序图集成药品、检验、手术、生命体征等内容</w:t>
      </w:r>
      <w:r>
        <w:rPr>
          <w:rFonts w:hint="eastAsia" w:cs="Times New Roman"/>
          <w:lang w:eastAsia="zh-CN"/>
        </w:rPr>
        <w:t>。</w:t>
      </w:r>
    </w:p>
    <w:p w14:paraId="5844C227">
      <w:pPr>
        <w:pStyle w:val="6"/>
        <w:pageBreakBefore w:val="0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十、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AI能力应用</w:t>
      </w:r>
    </w:p>
    <w:p w14:paraId="0B8C70AD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系统支持AI辅助病情分析功能：自动生成每日病情概要，为开展住院药学监护提供支持。</w:t>
      </w:r>
    </w:p>
    <w:p w14:paraId="66A7B3B4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bookmarkStart w:id="0" w:name="_Toc205909713"/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十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、居家药学服务需求</w:t>
      </w:r>
    </w:p>
    <w:p w14:paraId="7E957FFB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</w:rPr>
        <w:t>系统可协助医疗机构开展出院患者持续用药管理，通过发送或收集健康教育资料、疾病评估问卷、随访问卷、监护指标、不良反应等信息，将住院监护、药学门诊等药学服务延伸到院外。</w:t>
      </w:r>
    </w:p>
    <w:bookmarkEnd w:id="0"/>
    <w:p w14:paraId="755B027E">
      <w:pPr>
        <w:pStyle w:val="5"/>
        <w:pageBreakBefore w:val="0"/>
        <w:shd w:val="clear" w:color="auto" w:fill="FFFFFF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十二、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工作台</w:t>
      </w:r>
    </w:p>
    <w:p w14:paraId="08501FAD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工作台功能包括：查看新入院患者、监护患者及待监护患者的数量；统计当日任务完成量并与昨日工作量进行对比；根据筛选条件查看待监护患者信息，且支持一键将患者纳入监护。</w:t>
      </w:r>
    </w:p>
    <w:p w14:paraId="1A85C154">
      <w:pPr>
        <w:pStyle w:val="5"/>
        <w:pageBreakBefore w:val="0"/>
        <w:shd w:val="clear" w:color="auto" w:fill="FFFFFF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十三、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患者视图</w:t>
      </w:r>
    </w:p>
    <w:p w14:paraId="62877486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系统提供住院患者视图调阅功能，支持药师区分查看[在院患者]与[出院患者]</w:t>
      </w:r>
      <w:r>
        <w:rPr>
          <w:rFonts w:hint="eastAsia" w:cs="Times New Roman"/>
          <w:lang w:eastAsia="zh-CN"/>
        </w:rPr>
        <w:t>。</w:t>
      </w:r>
    </w:p>
    <w:p w14:paraId="12FA6951">
      <w:pPr>
        <w:pStyle w:val="5"/>
        <w:pageBreakBefore w:val="0"/>
        <w:shd w:val="clear" w:color="auto" w:fill="FFFFFF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十四、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电子药历</w:t>
      </w:r>
    </w:p>
    <w:p w14:paraId="24B2EF1E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系统提供一套标准的SOAP电子药历，用于跟踪患者的用药历史、药物治疗情况及其效果。系</w:t>
      </w:r>
    </w:p>
    <w:p w14:paraId="53CE6ACC">
      <w:pPr>
        <w:pStyle w:val="5"/>
        <w:pageBreakBefore w:val="0"/>
        <w:shd w:val="clear" w:color="auto" w:fill="FFFFFF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十五、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工作量统计</w:t>
      </w:r>
    </w:p>
    <w:p w14:paraId="1010FB57">
      <w:pPr>
        <w:pStyle w:val="8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系统设有工作量统计模块，可直观呈现各药师在不同病区完成的药学查房、入院评估、药物重整、医嘱审核、药学反馈、用药教育、电子药历编写、用药监护等药学服务的次数及人次数。</w:t>
      </w:r>
    </w:p>
    <w:p w14:paraId="47DDF01C">
      <w:pPr>
        <w:pStyle w:val="5"/>
        <w:pageBreakBefore w:val="0"/>
        <w:shd w:val="clear" w:color="auto" w:fill="FFFFFF"/>
        <w:kinsoku/>
        <w:wordWrap/>
        <w:overflowPunct/>
        <w:topLinePunct w:val="0"/>
        <w:bidi w:val="0"/>
        <w:spacing w:before="0" w:after="0"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十六、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系统设置</w:t>
      </w:r>
    </w:p>
    <w:p w14:paraId="267AEE3B">
      <w:pPr>
        <w:pStyle w:val="6"/>
        <w:pageBreakBefore w:val="0"/>
        <w:kinsoku/>
        <w:wordWrap/>
        <w:overflowPunct/>
        <w:topLinePunct w:val="0"/>
        <w:bidi w:val="0"/>
        <w:spacing w:before="0" w:after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包括：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常用语设置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表单模板配置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用药教育模板设置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用药教育导出设置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标签设置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 w:bidi="ar-SA"/>
        </w:rPr>
        <w:t>引用设置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-SC-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C62BB"/>
    <w:multiLevelType w:val="multilevel"/>
    <w:tmpl w:val="18DC62BB"/>
    <w:lvl w:ilvl="0" w:tentative="0">
      <w:start w:val="1"/>
      <w:numFmt w:val="decimal"/>
      <w:pStyle w:val="44"/>
      <w:lvlText w:val="（%1）"/>
      <w:lvlJc w:val="left"/>
      <w:pPr>
        <w:ind w:left="1007" w:hanging="440"/>
      </w:pPr>
      <w:rPr>
        <w:rFonts w:hint="default" w:ascii="PingFang-SC-Regular" w:hAnsi="PingFang-SC-Regular" w:cs="宋体"/>
        <w:b w:val="0"/>
        <w:color w:val="0D0D0D"/>
      </w:rPr>
    </w:lvl>
    <w:lvl w:ilvl="1" w:tentative="0">
      <w:start w:val="1"/>
      <w:numFmt w:val="lowerLetter"/>
      <w:lvlText w:val="%2)"/>
      <w:lvlJc w:val="left"/>
      <w:pPr>
        <w:ind w:left="1447" w:hanging="440"/>
      </w:pPr>
    </w:lvl>
    <w:lvl w:ilvl="2" w:tentative="0">
      <w:start w:val="1"/>
      <w:numFmt w:val="lowerRoman"/>
      <w:lvlText w:val="%3."/>
      <w:lvlJc w:val="right"/>
      <w:pPr>
        <w:ind w:left="1887" w:hanging="440"/>
      </w:pPr>
    </w:lvl>
    <w:lvl w:ilvl="3" w:tentative="0">
      <w:start w:val="1"/>
      <w:numFmt w:val="decimal"/>
      <w:lvlText w:val="%4."/>
      <w:lvlJc w:val="left"/>
      <w:pPr>
        <w:ind w:left="2327" w:hanging="440"/>
      </w:pPr>
    </w:lvl>
    <w:lvl w:ilvl="4" w:tentative="0">
      <w:start w:val="1"/>
      <w:numFmt w:val="lowerLetter"/>
      <w:lvlText w:val="%5)"/>
      <w:lvlJc w:val="left"/>
      <w:pPr>
        <w:ind w:left="2767" w:hanging="440"/>
      </w:pPr>
    </w:lvl>
    <w:lvl w:ilvl="5" w:tentative="0">
      <w:start w:val="1"/>
      <w:numFmt w:val="lowerRoman"/>
      <w:lvlText w:val="%6."/>
      <w:lvlJc w:val="right"/>
      <w:pPr>
        <w:ind w:left="3207" w:hanging="440"/>
      </w:pPr>
    </w:lvl>
    <w:lvl w:ilvl="6" w:tentative="0">
      <w:start w:val="1"/>
      <w:numFmt w:val="decimal"/>
      <w:lvlText w:val="%7."/>
      <w:lvlJc w:val="left"/>
      <w:pPr>
        <w:ind w:left="3647" w:hanging="440"/>
      </w:pPr>
    </w:lvl>
    <w:lvl w:ilvl="7" w:tentative="0">
      <w:start w:val="1"/>
      <w:numFmt w:val="lowerLetter"/>
      <w:lvlText w:val="%8)"/>
      <w:lvlJc w:val="left"/>
      <w:pPr>
        <w:ind w:left="4087" w:hanging="440"/>
      </w:pPr>
    </w:lvl>
    <w:lvl w:ilvl="8" w:tentative="0">
      <w:start w:val="1"/>
      <w:numFmt w:val="lowerRoman"/>
      <w:lvlText w:val="%9."/>
      <w:lvlJc w:val="right"/>
      <w:pPr>
        <w:ind w:left="4527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58"/>
    <w:rsid w:val="00026FCF"/>
    <w:rsid w:val="000318B7"/>
    <w:rsid w:val="00035E6E"/>
    <w:rsid w:val="000630F2"/>
    <w:rsid w:val="00076359"/>
    <w:rsid w:val="000778D7"/>
    <w:rsid w:val="000865D6"/>
    <w:rsid w:val="0009057F"/>
    <w:rsid w:val="00094AD0"/>
    <w:rsid w:val="000A13D6"/>
    <w:rsid w:val="000A46C5"/>
    <w:rsid w:val="000B29F7"/>
    <w:rsid w:val="000B567C"/>
    <w:rsid w:val="000C2381"/>
    <w:rsid w:val="000E35C3"/>
    <w:rsid w:val="00115292"/>
    <w:rsid w:val="00117199"/>
    <w:rsid w:val="001346AE"/>
    <w:rsid w:val="001368AD"/>
    <w:rsid w:val="00142002"/>
    <w:rsid w:val="00142C08"/>
    <w:rsid w:val="001633A6"/>
    <w:rsid w:val="00167881"/>
    <w:rsid w:val="00186D33"/>
    <w:rsid w:val="001A48C5"/>
    <w:rsid w:val="001D30DE"/>
    <w:rsid w:val="001E6173"/>
    <w:rsid w:val="002007B3"/>
    <w:rsid w:val="002052A3"/>
    <w:rsid w:val="0022717D"/>
    <w:rsid w:val="00232825"/>
    <w:rsid w:val="00236154"/>
    <w:rsid w:val="002477E9"/>
    <w:rsid w:val="002617C8"/>
    <w:rsid w:val="00281DC3"/>
    <w:rsid w:val="002962C2"/>
    <w:rsid w:val="002A0B89"/>
    <w:rsid w:val="002A1A8C"/>
    <w:rsid w:val="002D01EC"/>
    <w:rsid w:val="002D5E5F"/>
    <w:rsid w:val="002D73AE"/>
    <w:rsid w:val="002F0FDE"/>
    <w:rsid w:val="00301060"/>
    <w:rsid w:val="0030329C"/>
    <w:rsid w:val="00327AB3"/>
    <w:rsid w:val="003346BB"/>
    <w:rsid w:val="0034078A"/>
    <w:rsid w:val="0036096D"/>
    <w:rsid w:val="00380E0A"/>
    <w:rsid w:val="003965C5"/>
    <w:rsid w:val="00397897"/>
    <w:rsid w:val="003A0CE1"/>
    <w:rsid w:val="003B0669"/>
    <w:rsid w:val="003C3AA9"/>
    <w:rsid w:val="003C53CA"/>
    <w:rsid w:val="003C5AD8"/>
    <w:rsid w:val="003C7AB3"/>
    <w:rsid w:val="003E460D"/>
    <w:rsid w:val="00405E04"/>
    <w:rsid w:val="00410C94"/>
    <w:rsid w:val="004239ED"/>
    <w:rsid w:val="00437E91"/>
    <w:rsid w:val="00442DE1"/>
    <w:rsid w:val="00445929"/>
    <w:rsid w:val="00493BD6"/>
    <w:rsid w:val="004A0B0C"/>
    <w:rsid w:val="004B2B38"/>
    <w:rsid w:val="004D6D10"/>
    <w:rsid w:val="004D750F"/>
    <w:rsid w:val="004E208B"/>
    <w:rsid w:val="004E7215"/>
    <w:rsid w:val="004F1BF5"/>
    <w:rsid w:val="00511214"/>
    <w:rsid w:val="00513DF0"/>
    <w:rsid w:val="00545559"/>
    <w:rsid w:val="005544DC"/>
    <w:rsid w:val="00582A45"/>
    <w:rsid w:val="00584563"/>
    <w:rsid w:val="005877A7"/>
    <w:rsid w:val="005B1727"/>
    <w:rsid w:val="005B343E"/>
    <w:rsid w:val="005D6F1A"/>
    <w:rsid w:val="005E5F18"/>
    <w:rsid w:val="00600F3F"/>
    <w:rsid w:val="006064EA"/>
    <w:rsid w:val="0060711D"/>
    <w:rsid w:val="00613C23"/>
    <w:rsid w:val="00616050"/>
    <w:rsid w:val="00622979"/>
    <w:rsid w:val="00626383"/>
    <w:rsid w:val="006268FB"/>
    <w:rsid w:val="006343A6"/>
    <w:rsid w:val="00645BDB"/>
    <w:rsid w:val="00646D0E"/>
    <w:rsid w:val="006569AB"/>
    <w:rsid w:val="00660E05"/>
    <w:rsid w:val="006775B5"/>
    <w:rsid w:val="006963BF"/>
    <w:rsid w:val="006971A1"/>
    <w:rsid w:val="00697561"/>
    <w:rsid w:val="006F2AA6"/>
    <w:rsid w:val="006F3675"/>
    <w:rsid w:val="00717BC9"/>
    <w:rsid w:val="007226FB"/>
    <w:rsid w:val="0074244F"/>
    <w:rsid w:val="007635AE"/>
    <w:rsid w:val="00790391"/>
    <w:rsid w:val="00795D7D"/>
    <w:rsid w:val="0079672C"/>
    <w:rsid w:val="007A1662"/>
    <w:rsid w:val="007A74C7"/>
    <w:rsid w:val="007B2324"/>
    <w:rsid w:val="007F124F"/>
    <w:rsid w:val="0080010E"/>
    <w:rsid w:val="0080094E"/>
    <w:rsid w:val="008135FF"/>
    <w:rsid w:val="008250BC"/>
    <w:rsid w:val="0086137D"/>
    <w:rsid w:val="00866639"/>
    <w:rsid w:val="00875DC9"/>
    <w:rsid w:val="00884348"/>
    <w:rsid w:val="008A1D3C"/>
    <w:rsid w:val="008C08EB"/>
    <w:rsid w:val="008D32E7"/>
    <w:rsid w:val="0090102F"/>
    <w:rsid w:val="00902383"/>
    <w:rsid w:val="0092523C"/>
    <w:rsid w:val="00931852"/>
    <w:rsid w:val="009449DD"/>
    <w:rsid w:val="00945941"/>
    <w:rsid w:val="009933BD"/>
    <w:rsid w:val="009A0921"/>
    <w:rsid w:val="009B385D"/>
    <w:rsid w:val="009C110B"/>
    <w:rsid w:val="009C68A7"/>
    <w:rsid w:val="009D306C"/>
    <w:rsid w:val="009D611E"/>
    <w:rsid w:val="009E4DA8"/>
    <w:rsid w:val="009F651E"/>
    <w:rsid w:val="00A07B60"/>
    <w:rsid w:val="00A12DC9"/>
    <w:rsid w:val="00A1631B"/>
    <w:rsid w:val="00A21156"/>
    <w:rsid w:val="00A2564C"/>
    <w:rsid w:val="00A625ED"/>
    <w:rsid w:val="00AA2964"/>
    <w:rsid w:val="00AB1266"/>
    <w:rsid w:val="00AC3465"/>
    <w:rsid w:val="00AC5B37"/>
    <w:rsid w:val="00AE25CA"/>
    <w:rsid w:val="00B00681"/>
    <w:rsid w:val="00B0423D"/>
    <w:rsid w:val="00B32D8A"/>
    <w:rsid w:val="00B4235F"/>
    <w:rsid w:val="00B60286"/>
    <w:rsid w:val="00B620B8"/>
    <w:rsid w:val="00B82E8C"/>
    <w:rsid w:val="00B841A5"/>
    <w:rsid w:val="00B93BAC"/>
    <w:rsid w:val="00B94FCE"/>
    <w:rsid w:val="00BB7B9A"/>
    <w:rsid w:val="00BD1940"/>
    <w:rsid w:val="00BE4652"/>
    <w:rsid w:val="00BF6F20"/>
    <w:rsid w:val="00C11C6A"/>
    <w:rsid w:val="00C122BF"/>
    <w:rsid w:val="00C16BB6"/>
    <w:rsid w:val="00C24858"/>
    <w:rsid w:val="00C35563"/>
    <w:rsid w:val="00C42F85"/>
    <w:rsid w:val="00C44921"/>
    <w:rsid w:val="00C56ACC"/>
    <w:rsid w:val="00C67918"/>
    <w:rsid w:val="00C8156F"/>
    <w:rsid w:val="00C842D3"/>
    <w:rsid w:val="00C90045"/>
    <w:rsid w:val="00C917A9"/>
    <w:rsid w:val="00CA6C1B"/>
    <w:rsid w:val="00CB2126"/>
    <w:rsid w:val="00CC0B69"/>
    <w:rsid w:val="00CD3446"/>
    <w:rsid w:val="00CE2AA6"/>
    <w:rsid w:val="00CF7792"/>
    <w:rsid w:val="00D01802"/>
    <w:rsid w:val="00D02042"/>
    <w:rsid w:val="00D0380E"/>
    <w:rsid w:val="00D06ED0"/>
    <w:rsid w:val="00D2420F"/>
    <w:rsid w:val="00D25655"/>
    <w:rsid w:val="00D46BFE"/>
    <w:rsid w:val="00D52C3B"/>
    <w:rsid w:val="00D60A94"/>
    <w:rsid w:val="00D626F3"/>
    <w:rsid w:val="00D748D0"/>
    <w:rsid w:val="00D80FBA"/>
    <w:rsid w:val="00D81E03"/>
    <w:rsid w:val="00D86D72"/>
    <w:rsid w:val="00DB00BA"/>
    <w:rsid w:val="00DE5EED"/>
    <w:rsid w:val="00E0227C"/>
    <w:rsid w:val="00E155FF"/>
    <w:rsid w:val="00E40645"/>
    <w:rsid w:val="00E43EDD"/>
    <w:rsid w:val="00E44944"/>
    <w:rsid w:val="00E74E5F"/>
    <w:rsid w:val="00E9062B"/>
    <w:rsid w:val="00EA30C0"/>
    <w:rsid w:val="00EC17A1"/>
    <w:rsid w:val="00EE53D7"/>
    <w:rsid w:val="00EE7EFF"/>
    <w:rsid w:val="00F03171"/>
    <w:rsid w:val="00F27701"/>
    <w:rsid w:val="00F43E8C"/>
    <w:rsid w:val="00F46264"/>
    <w:rsid w:val="00F6492F"/>
    <w:rsid w:val="00F76EF4"/>
    <w:rsid w:val="00FB1245"/>
    <w:rsid w:val="00FB4434"/>
    <w:rsid w:val="00FB59FA"/>
    <w:rsid w:val="00FB74BF"/>
    <w:rsid w:val="00FD05AF"/>
    <w:rsid w:val="00FD1576"/>
    <w:rsid w:val="00FF3011"/>
    <w:rsid w:val="025E0D89"/>
    <w:rsid w:val="04D56E5D"/>
    <w:rsid w:val="050F05C1"/>
    <w:rsid w:val="06E710CA"/>
    <w:rsid w:val="072440CC"/>
    <w:rsid w:val="087D7F38"/>
    <w:rsid w:val="08E6788B"/>
    <w:rsid w:val="0A740EC6"/>
    <w:rsid w:val="0D6671EC"/>
    <w:rsid w:val="0EB73821"/>
    <w:rsid w:val="0F847DFE"/>
    <w:rsid w:val="11CC783A"/>
    <w:rsid w:val="147D0CCA"/>
    <w:rsid w:val="184B770B"/>
    <w:rsid w:val="18C80D5B"/>
    <w:rsid w:val="18F84BF9"/>
    <w:rsid w:val="194277CA"/>
    <w:rsid w:val="1A587EBD"/>
    <w:rsid w:val="1AE9220B"/>
    <w:rsid w:val="1D4604A0"/>
    <w:rsid w:val="1F6C4B85"/>
    <w:rsid w:val="20686980"/>
    <w:rsid w:val="233D2732"/>
    <w:rsid w:val="235D4796"/>
    <w:rsid w:val="250A26FB"/>
    <w:rsid w:val="27D972D8"/>
    <w:rsid w:val="2AFE685E"/>
    <w:rsid w:val="2E3B3926"/>
    <w:rsid w:val="2EAC4B33"/>
    <w:rsid w:val="2EE74C8A"/>
    <w:rsid w:val="304C3BC8"/>
    <w:rsid w:val="30BA2169"/>
    <w:rsid w:val="32111897"/>
    <w:rsid w:val="32432DA9"/>
    <w:rsid w:val="36015455"/>
    <w:rsid w:val="361E556F"/>
    <w:rsid w:val="372B776E"/>
    <w:rsid w:val="379A16BD"/>
    <w:rsid w:val="3A655FB2"/>
    <w:rsid w:val="3A9B5E78"/>
    <w:rsid w:val="3B4309FB"/>
    <w:rsid w:val="3D037D04"/>
    <w:rsid w:val="3D251A29"/>
    <w:rsid w:val="3D5E16BB"/>
    <w:rsid w:val="3F3F36A7"/>
    <w:rsid w:val="41D4659A"/>
    <w:rsid w:val="42023D60"/>
    <w:rsid w:val="425103BC"/>
    <w:rsid w:val="425E2DCE"/>
    <w:rsid w:val="445D7CFA"/>
    <w:rsid w:val="483B47F6"/>
    <w:rsid w:val="48D30102"/>
    <w:rsid w:val="4CAE2FAE"/>
    <w:rsid w:val="4DB90697"/>
    <w:rsid w:val="4E6C5709"/>
    <w:rsid w:val="51413E72"/>
    <w:rsid w:val="54B75204"/>
    <w:rsid w:val="54EB3100"/>
    <w:rsid w:val="56BB5208"/>
    <w:rsid w:val="56D7393C"/>
    <w:rsid w:val="58A5013C"/>
    <w:rsid w:val="594613D7"/>
    <w:rsid w:val="5B583BEB"/>
    <w:rsid w:val="5C514565"/>
    <w:rsid w:val="5CA867EF"/>
    <w:rsid w:val="5D740137"/>
    <w:rsid w:val="630E06AB"/>
    <w:rsid w:val="6380341F"/>
    <w:rsid w:val="644B6F26"/>
    <w:rsid w:val="648D5F82"/>
    <w:rsid w:val="64942E6C"/>
    <w:rsid w:val="663526E8"/>
    <w:rsid w:val="66507267"/>
    <w:rsid w:val="66F5A2B1"/>
    <w:rsid w:val="67E73BFB"/>
    <w:rsid w:val="689C52CA"/>
    <w:rsid w:val="6A334ED5"/>
    <w:rsid w:val="6CE93F71"/>
    <w:rsid w:val="6F011A46"/>
    <w:rsid w:val="6FFFF370"/>
    <w:rsid w:val="721B2E1F"/>
    <w:rsid w:val="72630EE2"/>
    <w:rsid w:val="755D1930"/>
    <w:rsid w:val="7573066D"/>
    <w:rsid w:val="7577036C"/>
    <w:rsid w:val="75D73A7B"/>
    <w:rsid w:val="75DF43B4"/>
    <w:rsid w:val="76312C11"/>
    <w:rsid w:val="766F3739"/>
    <w:rsid w:val="77FE2FC7"/>
    <w:rsid w:val="784177C4"/>
    <w:rsid w:val="78A16A83"/>
    <w:rsid w:val="78B74F24"/>
    <w:rsid w:val="797B0524"/>
    <w:rsid w:val="79935991"/>
    <w:rsid w:val="79FD4F87"/>
    <w:rsid w:val="7A140880"/>
    <w:rsid w:val="7D5E1E12"/>
    <w:rsid w:val="7E431733"/>
    <w:rsid w:val="7E7E09BD"/>
    <w:rsid w:val="7E9F26E2"/>
    <w:rsid w:val="7F65392B"/>
    <w:rsid w:val="7F6556D9"/>
    <w:rsid w:val="BFFBD568"/>
    <w:rsid w:val="D9AFE885"/>
    <w:rsid w:val="DF8B2AEE"/>
    <w:rsid w:val="ECEF5B38"/>
    <w:rsid w:val="EDEFDBD5"/>
    <w:rsid w:val="FDBB95AC"/>
    <w:rsid w:val="FDFFC8EE"/>
    <w:rsid w:val="FFF98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5">
    <w:name w:val="heading 4"/>
    <w:basedOn w:val="1"/>
    <w:next w:val="1"/>
    <w:link w:val="3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1440"/>
    </w:pPr>
    <w:rPr>
      <w:rFonts w:asciiTheme="minorHAnsi" w:eastAsiaTheme="minorHAnsi"/>
      <w:sz w:val="18"/>
      <w:szCs w:val="18"/>
    </w:rPr>
  </w:style>
  <w:style w:type="paragraph" w:styleId="8">
    <w:name w:val="Normal Indent"/>
    <w:link w:val="37"/>
    <w:unhideWhenUsed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9">
    <w:name w:val="annotation text"/>
    <w:basedOn w:val="1"/>
    <w:link w:val="38"/>
    <w:qFormat/>
    <w:uiPriority w:val="0"/>
    <w:rPr>
      <w:rFonts w:ascii="Times New Roman" w:hAnsi="Times New Roman" w:cs="Times New Roman"/>
      <w:sz w:val="21"/>
      <w:szCs w:val="20"/>
    </w:rPr>
  </w:style>
  <w:style w:type="paragraph" w:styleId="10">
    <w:name w:val="Block Text"/>
    <w:basedOn w:val="1"/>
    <w:unhideWhenUsed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cs="Times New Roman"/>
      <w:kern w:val="2"/>
      <w:sz w:val="21"/>
      <w14:ligatures w14:val="standardContextual"/>
    </w:rPr>
  </w:style>
  <w:style w:type="paragraph" w:styleId="11">
    <w:name w:val="toc 5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12">
    <w:name w:val="toc 3"/>
    <w:basedOn w:val="1"/>
    <w:next w:val="1"/>
    <w:unhideWhenUsed/>
    <w:uiPriority w:val="39"/>
    <w:pPr>
      <w:ind w:left="480"/>
    </w:pPr>
    <w:rPr>
      <w:rFonts w:asciiTheme="minorHAnsi" w:eastAsiaTheme="minorHAnsi"/>
      <w:i/>
      <w:iCs/>
      <w:sz w:val="20"/>
      <w:szCs w:val="20"/>
    </w:rPr>
  </w:style>
  <w:style w:type="paragraph" w:styleId="13">
    <w:name w:val="Plain Text"/>
    <w:basedOn w:val="1"/>
    <w:link w:val="43"/>
    <w:qFormat/>
    <w:uiPriority w:val="0"/>
    <w:pPr>
      <w:widowControl w:val="0"/>
      <w:spacing w:before="156" w:beforeLines="50" w:after="156" w:afterLines="50" w:line="400" w:lineRule="exact"/>
      <w:jc w:val="both"/>
    </w:pPr>
    <w:rPr>
      <w:rFonts w:hAnsi="Courier New" w:cs="Times New Roman"/>
      <w:kern w:val="2"/>
      <w14:ligatures w14:val="standardContextual"/>
    </w:rPr>
  </w:style>
  <w:style w:type="paragraph" w:styleId="14">
    <w:name w:val="toc 8"/>
    <w:basedOn w:val="1"/>
    <w:next w:val="1"/>
    <w:unhideWhenUsed/>
    <w:qFormat/>
    <w:uiPriority w:val="39"/>
    <w:pPr>
      <w:ind w:left="1680"/>
    </w:pPr>
    <w:rPr>
      <w:rFonts w:asciiTheme="minorHAnsi" w:eastAsiaTheme="minorHAnsi"/>
      <w:sz w:val="18"/>
      <w:szCs w:val="18"/>
    </w:rPr>
  </w:style>
  <w:style w:type="paragraph" w:styleId="15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spacing w:before="120" w:after="120"/>
    </w:pPr>
    <w:rPr>
      <w:rFonts w:asciiTheme="minorHAnsi" w:eastAsiaTheme="minorHAnsi"/>
      <w:b/>
      <w:bCs/>
      <w:caps/>
      <w:sz w:val="20"/>
      <w:szCs w:val="20"/>
    </w:rPr>
  </w:style>
  <w:style w:type="paragraph" w:styleId="18">
    <w:name w:val="toc 4"/>
    <w:basedOn w:val="1"/>
    <w:next w:val="1"/>
    <w:unhideWhenUsed/>
    <w:qFormat/>
    <w:uiPriority w:val="39"/>
    <w:pPr>
      <w:ind w:left="720"/>
    </w:pPr>
    <w:rPr>
      <w:rFonts w:asciiTheme="minorHAnsi" w:eastAsiaTheme="minorHAnsi"/>
      <w:sz w:val="18"/>
      <w:szCs w:val="18"/>
    </w:rPr>
  </w:style>
  <w:style w:type="paragraph" w:styleId="19">
    <w:name w:val="toc 6"/>
    <w:basedOn w:val="1"/>
    <w:next w:val="1"/>
    <w:unhideWhenUsed/>
    <w:uiPriority w:val="39"/>
    <w:pPr>
      <w:ind w:left="1200"/>
    </w:pPr>
    <w:rPr>
      <w:rFonts w:asciiTheme="minorHAnsi" w:eastAsiaTheme="minorHAnsi"/>
      <w:sz w:val="18"/>
      <w:szCs w:val="18"/>
    </w:rPr>
  </w:style>
  <w:style w:type="paragraph" w:styleId="20">
    <w:name w:val="toc 2"/>
    <w:basedOn w:val="1"/>
    <w:next w:val="1"/>
    <w:unhideWhenUsed/>
    <w:qFormat/>
    <w:uiPriority w:val="39"/>
    <w:pPr>
      <w:ind w:left="240"/>
    </w:pPr>
    <w:rPr>
      <w:rFonts w:asciiTheme="minorHAnsi" w:eastAsiaTheme="minorHAnsi"/>
      <w:smallCaps/>
      <w:sz w:val="20"/>
      <w:szCs w:val="20"/>
    </w:rPr>
  </w:style>
  <w:style w:type="paragraph" w:styleId="21">
    <w:name w:val="toc 9"/>
    <w:basedOn w:val="1"/>
    <w:next w:val="1"/>
    <w:unhideWhenUsed/>
    <w:uiPriority w:val="39"/>
    <w:pPr>
      <w:ind w:left="1920"/>
    </w:pPr>
    <w:rPr>
      <w:rFonts w:asciiTheme="minorHAnsi" w:eastAsiaTheme="minorHAnsi"/>
      <w:sz w:val="18"/>
      <w:szCs w:val="18"/>
    </w:r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qFormat/>
    <w:uiPriority w:val="0"/>
    <w:rPr>
      <w:sz w:val="21"/>
    </w:rPr>
  </w:style>
  <w:style w:type="character" w:customStyle="1" w:styleId="27">
    <w:name w:val="标题 2 字符"/>
    <w:basedOn w:val="23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lb"/>
    <w:basedOn w:val="23"/>
    <w:uiPriority w:val="0"/>
  </w:style>
  <w:style w:type="paragraph" w:styleId="29">
    <w:name w:val="List Paragraph"/>
    <w:basedOn w:val="1"/>
    <w:link w:val="30"/>
    <w:qFormat/>
    <w:uiPriority w:val="34"/>
    <w:pPr>
      <w:ind w:firstLine="420" w:firstLineChars="200"/>
    </w:pPr>
  </w:style>
  <w:style w:type="character" w:customStyle="1" w:styleId="30">
    <w:name w:val="列表段落 字符"/>
    <w:link w:val="29"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31">
    <w:name w:val="标题 3 字符"/>
    <w:basedOn w:val="23"/>
    <w:link w:val="4"/>
    <w:uiPriority w:val="9"/>
    <w:rPr>
      <w:b/>
      <w:bCs/>
      <w:sz w:val="32"/>
      <w:szCs w:val="32"/>
    </w:rPr>
  </w:style>
  <w:style w:type="character" w:customStyle="1" w:styleId="32">
    <w:name w:val="标题 4 字符"/>
    <w:basedOn w:val="23"/>
    <w:link w:val="5"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33">
    <w:name w:val="标题 5 字符"/>
    <w:basedOn w:val="23"/>
    <w:link w:val="6"/>
    <w:qFormat/>
    <w:uiPriority w:val="9"/>
    <w:rPr>
      <w:rFonts w:ascii="宋体" w:hAnsi="宋体" w:eastAsia="宋体" w:cs="宋体"/>
      <w:b/>
      <w:bCs/>
      <w:kern w:val="0"/>
      <w:sz w:val="28"/>
      <w:szCs w:val="28"/>
    </w:rPr>
  </w:style>
  <w:style w:type="character" w:customStyle="1" w:styleId="34">
    <w:name w:val="标题 1 字符"/>
    <w:basedOn w:val="23"/>
    <w:link w:val="2"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paragraph" w:customStyle="1" w:styleId="35">
    <w:name w:val="TOC 标题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6">
    <w:name w:val="批注文字 字符"/>
    <w:basedOn w:val="23"/>
    <w:semiHidden/>
    <w:uiPriority w:val="99"/>
    <w:rPr>
      <w:rFonts w:ascii="宋体" w:hAnsi="宋体" w:eastAsia="宋体" w:cs="宋体"/>
      <w:kern w:val="0"/>
      <w:sz w:val="24"/>
    </w:rPr>
  </w:style>
  <w:style w:type="character" w:customStyle="1" w:styleId="37">
    <w:name w:val="正文缩进 字符"/>
    <w:link w:val="8"/>
    <w:qFormat/>
    <w:uiPriority w:val="0"/>
    <w:rPr>
      <w:rFonts w:ascii="Times New Roman" w:hAnsi="Times New Roman" w:eastAsia="宋体" w:cs="宋体"/>
      <w:kern w:val="0"/>
      <w:sz w:val="24"/>
    </w:rPr>
  </w:style>
  <w:style w:type="character" w:customStyle="1" w:styleId="38">
    <w:name w:val="批注文字 字符1"/>
    <w:link w:val="9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39">
    <w:name w:val="无间隔 字符"/>
    <w:link w:val="40"/>
    <w:qFormat/>
    <w:locked/>
    <w:uiPriority w:val="1"/>
    <w:rPr>
      <w:rFonts w:ascii="宋体" w:hAnsi="宋体" w:eastAsia="宋体"/>
    </w:rPr>
  </w:style>
  <w:style w:type="paragraph" w:styleId="40">
    <w:name w:val="No Spacing"/>
    <w:basedOn w:val="1"/>
    <w:link w:val="39"/>
    <w:qFormat/>
    <w:uiPriority w:val="1"/>
    <w:pPr>
      <w:jc w:val="both"/>
    </w:pPr>
    <w:rPr>
      <w:rFonts w:cstheme="minorBidi"/>
      <w:kern w:val="2"/>
      <w:sz w:val="21"/>
    </w:rPr>
  </w:style>
  <w:style w:type="paragraph" w:customStyle="1" w:styleId="41">
    <w:name w:val="修订1"/>
    <w:hidden/>
    <w:semiHidden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2">
    <w:name w:val="纯文本 字符"/>
    <w:basedOn w:val="23"/>
    <w:semiHidden/>
    <w:uiPriority w:val="99"/>
    <w:rPr>
      <w:rFonts w:hAnsi="Courier New" w:cs="Courier New" w:asciiTheme="minorEastAsia"/>
      <w:kern w:val="0"/>
      <w:sz w:val="24"/>
    </w:rPr>
  </w:style>
  <w:style w:type="character" w:customStyle="1" w:styleId="43">
    <w:name w:val="纯文本 字符1"/>
    <w:link w:val="13"/>
    <w:qFormat/>
    <w:uiPriority w:val="0"/>
    <w:rPr>
      <w:rFonts w:ascii="宋体" w:hAnsi="Courier New" w:eastAsia="宋体" w:cs="Times New Roman"/>
      <w:sz w:val="24"/>
      <w14:ligatures w14:val="standardContextual"/>
    </w:rPr>
  </w:style>
  <w:style w:type="paragraph" w:customStyle="1" w:styleId="44">
    <w:name w:val="正文编号"/>
    <w:basedOn w:val="8"/>
    <w:next w:val="8"/>
    <w:link w:val="45"/>
    <w:qFormat/>
    <w:uiPriority w:val="0"/>
    <w:pPr>
      <w:numPr>
        <w:ilvl w:val="0"/>
        <w:numId w:val="1"/>
      </w:numPr>
      <w:ind w:left="0" w:firstLine="480"/>
    </w:pPr>
  </w:style>
  <w:style w:type="character" w:customStyle="1" w:styleId="45">
    <w:name w:val="正文编号 字符"/>
    <w:basedOn w:val="37"/>
    <w:link w:val="44"/>
    <w:qFormat/>
    <w:uiPriority w:val="0"/>
    <w:rPr>
      <w:rFonts w:ascii="Times New Roman" w:hAnsi="Times New Roman" w:eastAsia="宋体" w:cs="宋体"/>
      <w:kern w:val="0"/>
      <w:sz w:val="24"/>
    </w:rPr>
  </w:style>
  <w:style w:type="character" w:customStyle="1" w:styleId="46">
    <w:name w:val="页眉 字符"/>
    <w:basedOn w:val="23"/>
    <w:link w:val="16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47">
    <w:name w:val="页脚 字符"/>
    <w:basedOn w:val="23"/>
    <w:link w:val="15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48">
    <w:name w:val="el-tooltip"/>
    <w:basedOn w:val="23"/>
    <w:qFormat/>
    <w:uiPriority w:val="0"/>
    <w:rPr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1152</Characters>
  <Lines>206</Lines>
  <Paragraphs>58</Paragraphs>
  <TotalTime>3</TotalTime>
  <ScaleCrop>false</ScaleCrop>
  <LinksUpToDate>false</LinksUpToDate>
  <CharactersWithSpaces>1154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2025-08-04T10:34:00Z</dcterms:created>
  <dc:creator>容德 朱</dc:creator>
  <cp:lastModifiedBy>张静</cp:lastModifiedBy>
  <dcterms:modified xsi:type="dcterms:W3CDTF">2026-05-26T03:34:15Z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484ED501EA0ADAB5BBEFA3686BB15CEF_42</vt:lpwstr>
  </property>
  <property fmtid="{D5CDD505-2E9C-101B-9397-08002B2CF9AE}" pid="4" name="KSOTemplateDocerSaveRecord">
    <vt:lpwstr>eyJoZGlkIjoiODIxNTdjYmFmMzcyYjBlNjZmYTYyMmQyOTYyNmZhZTciLCJ1c2VySWQiOiIzMDU3Mjk4NDYifQ==</vt:lpwstr>
  </property>
</Properties>
</file>